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31</w:t>
      </w:r>
    </w:p>
    <w:p>
      <w:r>
        <w:t>Bundesgericht (BGE), 1995-01-12, DE</w:t>
      </w:r>
    </w:p>
    <w:p>
      <w:r>
        <w:rPr>
          <w:b/>
        </w:rPr>
        <w:t xml:space="preserve">Quelle: </w:t>
      </w:r>
      <w:r>
        <w:t>https://mcp.opencaselaw.ch/entscheid/bge_121 III 31</w:t>
      </w:r>
    </w:p>
    <w:p>
      <w:r>
        <w:t>FR: ATF 121 III 31</w:t>
      </w:r>
    </w:p>
    <w:p>
      <w:r>
        <w:t>IT: DTF 121 III 31</w:t>
      </w:r>
    </w:p>
    <w:p>
      <w:pPr>
        <w:pStyle w:val="Heading2"/>
      </w:pPr>
      <w:r>
        <w:t>Regeste</w:t>
      </w:r>
    </w:p>
    <w:p>
      <w:r>
        <w:t>Regeste Arrestierung einer Freizügigkeitsleistung; Anforderungen an das Auszahlungsbegehren (Art. 275 SchKG, Art. 92 Ziff. 13 SchKG; Art. 11 OR). Stellt ein Arbeitnehmer, der die Schweiz endgültig verlässt, ein ausdrückliches Begehren um Auszahlung seiner Freizügigkeitsleistung, wird sein Guthaben fällig und kann in der Folge gepfändet und mit Arrest belegt werden (E. 2b u. c). Das Auszahlungsbegehren unterliegt keinen gesetzlichen Formvorschriften, so dass auch eine telefonische Erklärung die Fälligkeit des Freizügigkeitsguthabens bewirkt (E. 2d).</w:t>
      </w:r>
    </w:p>
    <w:p>
      <w:pPr>
        <w:pStyle w:val="Heading2"/>
      </w:pPr>
      <w:r>
        <w:t>Erwägungen</w:t>
      </w:r>
    </w:p>
    <w:p>
      <w:r>
        <w:rPr>
          <w:b/>
        </w:rPr>
        <w:t>E. 2</w:t>
      </w:r>
    </w:p>
    <w:p>
      <w:r>
        <w:t>Die Rekurrentin macht geltend, dass die Freizügigkeitsleistung des Versicherten zu Unrecht mit Arrest belegt worden sei. Beim Arrestgegenstand handle es sich um einen Anspruch des Arrestschuldners auf Vorsorgeleistungen, der gemäss Art. 92 Ziff. 13 SchKG vor der Fälligkeit unpfändbar sei. Die Barauszahlung eines Vorsorgeguthabens an einen Arbeitnehmer, der die Schweiz definitiv verlassen habe, setze ein ausdrückliches Begehren voraus, an welches hohe Anforderungen zu stellen seien. Ein Telefonanruf des Versicherten aus dem Ausland genüge diesen strengen Anforderungen nicht und entfalte demnach keine Rechtswirkungen. Daraus folge, dass der Vorsorgeanspruch nicht fällig geworden sei und deshalb weder gepfändet noch mit Arrest belegt werden könne. a) Die kantonale Aufsichtsbehörde hat für das Bundesgericht verbindlich festgehalten ( Art. 81 OG in Verbindung mit Art. 63 Abs. 2 OG ), dass der Versicherte die Schweiz endgültig verlassen und am 14. Mai 1990 telefonisch um die Barauszahlung der Freizügigkeitsleistung nachgesucht hat. Ein schriftliches Auszahlungsbegehren liegt nicht vor. b) Gemäss Art. 275 SchKG wird der Arrest nach den in Art. 91-109 SchKG für die Pfändung aufgestellten Vorschriften vollzogen. Nach Art. 92 Ziff. 13 SchKG sind Ansprüche auf Vorsorgeleistungen gegen eine Personalvorsorgeeinrichtung vor Fälligkeit unpfändbar. Stellt ein Versicherter, der die Schweiz endgültig verlässt, das Begehren um Barauszahlung seines Vorsorgeguthabens (Art. 331c Abs. 4 lit. b Ziff. 1 OR, Art. 30 Abs. 2 lit. a BVG [SR 831.40], Art. 7 Abs. 2 lit. b Ziff. 1 der Verordnung über die Erhaltung des Vorsorgeschutzes und die Freizügigkeit [SR 831.425] vgl. auch Art. 5 Abs. 1 lit. a des am 1. Januar 1995 in Kraft getretenen Freizügigkeitsgesetz [AS 1994, 2386]), wird die Freizügigkeitsleistung fällig und kann in der Folge gepfändet und mit Arrest belegt werden ( BGE 120 III 75 E. 1a). BGE 121 III 31 S. 34 c) Die Rekurrentin ist der Auffassung, dass angesichts des Grundsatzes der Erhaltung des Vorsorgezwecks und des Ausnahmecharakters der Barauszahlung an das diesbezügliche Begehren erhöhte Anforderungen zu stellen seien. Ein aus dem Ausland telefonisch gestelltes Ersuchen um Barauszahlung genüge den strengen Voraussetzungen nicht. Gemäss BGE 119 III 18 ist die Freizügigkeitsleistung eines Arbeitnehmers unpfändbar und nicht verarrestierbar, solange nicht ein ausdrückliches Begehren auf Barauszahlung gestellt worden ist. Die Fälligkeit des Vorsorgeguthabens wird demnach nicht bereits durch den Umstand herbeigeführt, dass ein Versicherter die Schweiz definitiv verlässt, sondern es bedarf zusätzlich einer ausdrücklichen Erklärung. Als ausdrücklich gilt eine Erklärung durch Worte, soweit der erklärte Wille aus den verwendeten Worten unmittelbar hervorgeht (GAUCH/SCHLUEP, Schweizerisches Obligationenrecht, Allgemeiner Teil, Band I, 5. Aufl. 1991, N. 188). Der Arrestschuldner hat am 14. Mai 1990 telefonisch die Barauszahlung seines Freizügigkeitsguthabens verlangt. Es ist demnach davon auszugehen, dass eine ausdrückliche Erklärung abgegeben worden ist. Soweit sich die Rekurrentin darauf beruft, dass an die ausdrückliche Erklärung erhöhte Anforderungen zu stellen seien, macht sie sinngemäss geltend, dass für die Rechtswirksamkeit des Auszahlungsbegehrens die Schriftform erforderlich sei. Nach dem Grundsatz der Formfreiheit bedürfen Verträge zu ihrer Gültigkeit indessen nur dann einer besonderen Form, wenn dies vom Gesetz ausdrücklich vorgeschrieben wird ( Art. 11 Abs. 1 OR ). Was im OR über die Form der Verträge bestimmt wird, ist analog auf einseitige Rechtsgeschäfte anzuwenden (VON TUHR/PETER, Das Schweizerische Obligationenrecht, Allgemeiner Teil, Band I, 1974, S. 234, Fn. 4). Die einschlägigen Gesetzesbestimmungen ( Art. 331c Abs. 4 lit. b OR , Art. 30 Abs. 2 BVG , Art. 7 Abs. 2 lit. b der Verordnung über die Erhaltung des Vorsorgeschutzes und Freizügigkeit) setzen keine Schriftform für das Barauszahlungsbegehren voraus. Gemäss der verbindlichen Feststellung der kantonalen Aufsichtsbehörden sieht auch Art. 28 Abs. 5 der Statuten der Versicherungskasse für die Arbeitnehmer der Stadt Zürich vom 24. Oktober 1994 keine Schriftform vor. Da dem klaren Wortlaut der genannten Bestimmungen kein Erfordernis der Schriftform entnommen werden kann, erübrigt sich eine Auseinandersetzung mit den Hinweisen der Rekurrentin auf die Materialien und die Literatur. Der klare Gesetzeswortlaut lässt keinen Raum für eine Auslegung (117 III 44 E. 1). BGE 121 III 31 S. 35</w:t>
      </w:r>
    </w:p>
    <w:p>
      <w:r>
        <w:rPr>
          <w:b/>
        </w:rPr>
        <w:t>E. 3</w:t>
      </w:r>
    </w:p>
    <w:p>
      <w:r>
        <w:t>Nachdem der Arrestschuldner die Schweiz definitiv verlassen und am 14. Mai 1990 telefonisch ausdrücklich den Bezug der Freizügigkeitsleistung verlangt hat, ist der Barauszahlungstatbestand gemäss Art. 331c Abs. 4 lit. b Ziff. 1 OR, Art. 30 Abs. 2 lit. a BVG sowie Art. 7 Abs. 2 lit. b Ziff. 1 der Verordnung über die Erhaltung des Vorsorgeschutzes und die Freizügigkeit erfüllt. Die Vorinstanz hat nach dem Gesagten zutreffend erkannt, dass das Begehren um Barauszahlung nicht an die Schriftform gebunden ist, sondern auch formfrei erfolgen kann. Ist jedoch Schriftlichkeit nicht erforderlich, entfaltet auch eine formfrei abgegebene Willenserklärung Rechtswirkung ( Art. 11 Abs. 1 OR ). Das Vorsorgeguthaben konnte deshalb mit Arrest belegt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